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jc w:val="center"/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天津市科学技术信息研究所</w:t>
      </w:r>
    </w:p>
    <w:p>
      <w:pPr>
        <w:jc w:val="center"/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项目支出绩效目标表</w:t>
      </w:r>
    </w:p>
    <w:p>
      <w:pPr>
        <w:jc w:val="center"/>
      </w:pP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（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202</w:t>
      </w:r>
      <w:r>
        <w:rPr>
          <w:rFonts w:ascii="方正小标宋简体" w:hAnsi="方正小标宋_GBK" w:eastAsia="方正小标宋简体" w:cs="方正小标宋_GBK"/>
          <w:color w:val="000000"/>
          <w:sz w:val="48"/>
          <w:lang w:eastAsia="zh-CN"/>
        </w:rPr>
        <w:t>4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年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</w:rPr>
        <w:t>）</w:t>
      </w: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>
      <w:pPr>
        <w:jc w:val="center"/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  <w:r>
        <w:rPr>
          <w:rFonts w:eastAsia="方正仿宋_GBK"/>
          <w:color w:val="000000"/>
          <w:sz w:val="28"/>
        </w:rPr>
        <w:fldChar w:fldCharType="begin"/>
      </w:r>
      <w:r>
        <w:rPr>
          <w:rFonts w:eastAsia="方正仿宋_GBK"/>
          <w:color w:val="000000"/>
          <w:sz w:val="28"/>
        </w:rPr>
        <w:instrText xml:space="preserve"> TOC \o "4-4" \n \h \z \u </w:instrText>
      </w:r>
      <w:r>
        <w:rPr>
          <w:rFonts w:eastAsia="方正仿宋_GBK"/>
          <w:color w:val="000000"/>
          <w:sz w:val="28"/>
        </w:rPr>
        <w:fldChar w:fldCharType="separate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"_Toc157674449"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1</w:t>
      </w:r>
      <w:r>
        <w:rPr>
          <w:rStyle w:val="13"/>
          <w:rFonts w:ascii="方正仿宋_GBK" w:hAnsi="方正仿宋_GBK" w:eastAsia="方正仿宋_GBK" w:cs="方正仿宋_GBK"/>
        </w:rPr>
        <w:t>.天津科技管理信息平台升级开发与运维服务绩效目标表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"_Toc157674450"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2</w:t>
      </w:r>
      <w:r>
        <w:rPr>
          <w:rStyle w:val="13"/>
          <w:rFonts w:ascii="方正仿宋_GBK" w:hAnsi="方正仿宋_GBK" w:eastAsia="方正仿宋_GBK" w:cs="方正仿宋_GBK"/>
        </w:rPr>
        <w:t>.2022年天津市科技计划智库项目（软科学研究项目）绩效目标表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"_Toc157674451"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3</w:t>
      </w:r>
      <w:r>
        <w:rPr>
          <w:rStyle w:val="13"/>
          <w:rFonts w:ascii="方正仿宋_GBK" w:hAnsi="方正仿宋_GBK" w:eastAsia="方正仿宋_GBK" w:cs="方正仿宋_GBK"/>
        </w:rPr>
        <w:t>.2024年度天津市科技计划项目抽查监督工作绩效目标表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"_Toc157674452"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4</w:t>
      </w:r>
      <w:r>
        <w:rPr>
          <w:rStyle w:val="13"/>
          <w:rFonts w:ascii="方正仿宋_GBK" w:hAnsi="方正仿宋_GBK" w:eastAsia="方正仿宋_GBK" w:cs="方正仿宋_GBK"/>
        </w:rPr>
        <w:t>.2024年审计监督工作绩效目标表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"_Toc157674453"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5</w:t>
      </w:r>
      <w:r>
        <w:rPr>
          <w:rStyle w:val="13"/>
          <w:rFonts w:ascii="方正仿宋_GBK" w:hAnsi="方正仿宋_GBK" w:eastAsia="方正仿宋_GBK" w:cs="方正仿宋_GBK"/>
        </w:rPr>
        <w:t>.大型仪器管理服务工作绩效目标表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"_Toc157674454"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6</w:t>
      </w:r>
      <w:r>
        <w:rPr>
          <w:rStyle w:val="13"/>
          <w:rFonts w:ascii="方正仿宋_GBK" w:hAnsi="方正仿宋_GBK" w:eastAsia="方正仿宋_GBK" w:cs="方正仿宋_GBK"/>
        </w:rPr>
        <w:t>.关键核心技术攻关科技项目体系设计与跟踪研判绩效目标表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"_Toc157674455"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7</w:t>
      </w:r>
      <w:r>
        <w:rPr>
          <w:rStyle w:val="13"/>
          <w:rFonts w:ascii="方正仿宋_GBK" w:hAnsi="方正仿宋_GBK" w:eastAsia="方正仿宋_GBK" w:cs="方正仿宋_GBK"/>
        </w:rPr>
        <w:t>.杰青评估评价服务绩效目标表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"_Toc157674456"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8</w:t>
      </w:r>
      <w:r>
        <w:rPr>
          <w:rStyle w:val="13"/>
          <w:rFonts w:ascii="方正仿宋_GBK" w:hAnsi="方正仿宋_GBK" w:eastAsia="方正仿宋_GBK" w:cs="方正仿宋_GBK"/>
        </w:rPr>
        <w:t>.科技创新汇智平台工作绩效目标表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"_Toc157674457"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9</w:t>
      </w:r>
      <w:r>
        <w:rPr>
          <w:rStyle w:val="13"/>
          <w:rFonts w:ascii="方正仿宋_GBK" w:hAnsi="方正仿宋_GBK" w:eastAsia="方正仿宋_GBK" w:cs="方正仿宋_GBK"/>
        </w:rPr>
        <w:t>.科技系统干部教育培训绩效目标表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"_Toc157674458"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10</w:t>
      </w:r>
      <w:r>
        <w:rPr>
          <w:rStyle w:val="13"/>
          <w:rFonts w:ascii="方正仿宋_GBK" w:hAnsi="方正仿宋_GBK" w:eastAsia="方正仿宋_GBK" w:cs="方正仿宋_GBK"/>
        </w:rPr>
        <w:t>.科技信息资源建设绩效目标表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"_Toc157674459"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11</w:t>
      </w:r>
      <w:r>
        <w:rPr>
          <w:rStyle w:val="13"/>
          <w:rFonts w:ascii="方正仿宋_GBK" w:hAnsi="方正仿宋_GBK" w:eastAsia="方正仿宋_GBK" w:cs="方正仿宋_GBK"/>
        </w:rPr>
        <w:t>.科技宣传专项工作绩效目标表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"_Toc157674460"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12</w:t>
      </w:r>
      <w:r>
        <w:rPr>
          <w:rStyle w:val="13"/>
          <w:rFonts w:ascii="方正仿宋_GBK" w:hAnsi="方正仿宋_GBK" w:eastAsia="方正仿宋_GBK" w:cs="方正仿宋_GBK"/>
        </w:rPr>
        <w:t>.科学技术普及工作经费绩效目标表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"_Toc157674461"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13</w:t>
      </w:r>
      <w:r>
        <w:rPr>
          <w:rStyle w:val="13"/>
          <w:rFonts w:ascii="方正仿宋_GBK" w:hAnsi="方正仿宋_GBK" w:eastAsia="方正仿宋_GBK" w:cs="方正仿宋_GBK"/>
        </w:rPr>
        <w:t>.科研经费评价及政策培训工作绩效目标表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"_Toc157674462"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14</w:t>
      </w:r>
      <w:r>
        <w:rPr>
          <w:rStyle w:val="13"/>
          <w:rFonts w:ascii="方正仿宋_GBK" w:hAnsi="方正仿宋_GBK" w:eastAsia="方正仿宋_GBK" w:cs="方正仿宋_GBK"/>
        </w:rPr>
        <w:t>.实验动物管理服务绩效目标表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pStyle w:val="8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fldChar w:fldCharType="begin"/>
      </w:r>
      <w:r>
        <w:instrText xml:space="preserve"> HYPERLINK \l "_Toc157674463" </w:instrText>
      </w:r>
      <w:r>
        <w:fldChar w:fldCharType="separate"/>
      </w:r>
      <w:r>
        <w:rPr>
          <w:rStyle w:val="13"/>
          <w:rFonts w:hint="eastAsia" w:ascii="方正仿宋_GBK" w:hAnsi="方正仿宋_GBK" w:eastAsia="方正仿宋_GBK" w:cs="方正仿宋_GBK"/>
          <w:lang w:val="en-US" w:eastAsia="zh-CN"/>
        </w:rPr>
        <w:t>15</w:t>
      </w:r>
      <w:r>
        <w:rPr>
          <w:rStyle w:val="13"/>
          <w:rFonts w:ascii="方正仿宋_GBK" w:hAnsi="方正仿宋_GBK" w:eastAsia="方正仿宋_GBK" w:cs="方正仿宋_GBK"/>
        </w:rPr>
        <w:t>.天津市人类遗传资源管理绩效目标表</w:t>
      </w:r>
      <w:r>
        <w:rPr>
          <w:rStyle w:val="13"/>
          <w:rFonts w:ascii="方正仿宋_GBK" w:hAnsi="方正仿宋_GBK" w:eastAsia="方正仿宋_GBK" w:cs="方正仿宋_GBK"/>
        </w:rP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fldChar w:fldCharType="end"/>
      </w: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0" w:name="_Toc157674449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.天津科技管理信息平台升级开发与运维服务绩效目标表</w:t>
      </w:r>
      <w:bookmarkEnd w:id="0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天津科技管理信息平台升级开发与运维服务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717.00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717.00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用于天津科技管理信息平台升级开发及运维相关支出。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1.保证天津科技管理信息平台各业务系统安全平稳运转，持续升级优化系统功能，提供5*8小时的在线技术支持。</w:t>
            </w:r>
          </w:p>
          <w:p>
            <w:pPr>
              <w:pStyle w:val="19"/>
            </w:pPr>
            <w:r>
              <w:t>2.提升科技成果转化网、科技帮扶平台系统应用功能服务能力、用户访问使用体验，以及综合安全防护能力，加强服务资源聚集和宣传推广，实现各业务系统安全、稳定、高效运行。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 xml:space="preserve"> 市科技局以及直属单位网站及信息系统网络安全检测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 xml:space="preserve"> 市科技局以及直属单位网站及信息系统网络安全检测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≥4次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对网络舆情信息进行24小时不间断技术监测，并出具网络舆情监测分析报告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对网络舆情信息进行24小时不间断技术监测，并出具网络舆情监测分析报告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≥4份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科技计划项目申报数量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科技计划项目申报数量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≥2000项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科技计划项目评审数量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科技计划项目评审数量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≥2000项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 xml:space="preserve">支撑企业评价入库数量 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 xml:space="preserve">支撑企业评价入库数量 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≥4000家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支撑在线受理科技奖励提名书数量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支撑在线受理科技奖励提名书数量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≥500项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升级维护好差评接口数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升级维护好差评接口数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3个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网络视频答辩场次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网络视频答辩场次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≥80场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 xml:space="preserve">成果网服务技术转移机构、企业、高校等用户数量 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 xml:space="preserve">成果网服务技术转移机构、企业、高校等用户数量 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≥500家次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 xml:space="preserve">科技帮扶平台年度访问量增加 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 xml:space="preserve">科技帮扶平台年度访问量增加 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≥2万人次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保持市科技局OA办公系统运行稳定率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保持市科技局OA办公系统运行稳定率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≥99百分比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科技计划项目管理申报流程合规率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科技计划项目管理申报流程合规率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100百分比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系统安全稳定率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系统安全稳定率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≥95百分比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市科技局网络安全高危漏洞整改率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市科技局网络安全高危漏洞整改率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≥99百分比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专项工作完成时效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专项工作完成时效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 xml:space="preserve"> 专项工作经费执行情况 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 xml:space="preserve"> 专项工作经费执行情况 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≤717万元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支撑企业评价入库全过程线上管理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支撑企业评价入库全过程线上管理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≥4000家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市科技局网络信息安全防护率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市科技局网络信息安全防护率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≥99百分比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组织企业培训、对接服务活动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组织企业培训、对接服务活动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≥10场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系统用户满意度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系统用户满意度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≥95百分比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1" w:name="_Toc157674450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.2022年天津市科技计划智库项目（软科学研究项目）绩效目标表</w:t>
      </w:r>
      <w:bookmarkEnd w:id="1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2022年天津市科技计划智库项目（软科学研究项目）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  <w:rPr>
                <w:rFonts w:hint="default" w:eastAsia="方正书宋_GBK"/>
                <w:lang w:val="en-US" w:eastAsia="zh-CN"/>
              </w:rPr>
            </w:pPr>
            <w:r>
              <w:t>0.00</w:t>
            </w:r>
            <w:r>
              <w:rPr>
                <w:rFonts w:hint="eastAsia"/>
                <w:lang w:val="en-US" w:eastAsia="zh-CN"/>
              </w:rPr>
              <w:t>01</w:t>
            </w:r>
            <w:bookmarkStart w:id="15" w:name="_GoBack"/>
            <w:bookmarkEnd w:id="15"/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  <w:rPr>
                <w:rFonts w:hint="default" w:eastAsia="方正书宋_GBK"/>
                <w:lang w:val="en-US" w:eastAsia="zh-CN"/>
              </w:rPr>
            </w:pPr>
            <w:r>
              <w:t>0.00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科技智库项目相关支出。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1.撰写《科技创新观察》，形成决策咨询建议。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研究报告数量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撰写《科技创新观察》、决策咨询建议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≥8份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专利价值评估核心指标覆盖率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研究进度及时率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按任务要求完成研究任务。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项目结项前完成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科研支出经费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科研经费支出总额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推动技术进步和产业发展程度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为相关部门决策提供支撑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提出具体、可行的对策建议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2" w:name="_Toc157674451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.2024年度天津市科技计划项目抽查监督工作绩效目标表</w:t>
      </w:r>
      <w:bookmarkEnd w:id="2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2024年度天津市科技计划项目抽查监督工作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  以“强执行、促规范、防风险”为目标，建立完善科技计划项目抽查监督工作机制，通过重点抽查与随机抽查相结合的方式，强化项目监督的“再监督”，进一步加强科技计划项目风险预警和排查，压实计划项目组织、实施、管理等各方责任，有效防范和化解项目实施、资金使用、科研诚信等方面风险，推动形成守规矩、重绩效、讲诚信的良好科研风气。在天津市科技计划项目管理信息系统中开发科研诚信、科技监督系统模块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随机抽查项目数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随机抽查项目数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≥30项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专项检查项目或工作数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专项检查项目或工作数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 xml:space="preserve">检查情况反馈材料 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 xml:space="preserve">检查情况反馈材料 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≥35项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开发系统模块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开发系统模块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1项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抽查监督工作完成时限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抽查监督工作完成时限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项目预算支出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项目预算支出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≤15万元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专项工作报告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专项工作报告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1项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3" w:name="_Toc157674452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28"/>
        </w:rPr>
        <w:t>.2024年审计监督工作绩效目标表</w:t>
      </w:r>
      <w:bookmarkEnd w:id="3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2024年审计监督工作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进一步规范天津市财政科研项目结题审计工作，加强对开展结题审计业务会计师事务所的管理，提高结题审计工作质量，建立健全监督机制，形成对会计师事务所的有效监督；强化对市科技局所属事业单位党政主要领导干部的管理监督，开展经济责任审计，对直属单位开展专项审计；强化市科技局重点工作执行，保证资金、资产等管理工作规范，发挥专项审计的专业监督作用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现场检查会计师事务所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现场检查会计师事务所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≥20家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直属经济责任审计单位或者专项审计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直属经济责任审计单位或者专项审计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3家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市科技局重点工作审计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市科技局重点工作审计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开展结题审计政策培训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开展结题审计政策培训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3场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经济责任审计报告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经济责任审计报告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3份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重点工作专项审计报告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重点工作专项审计报告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1份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审计监督工作完成时效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审计监督工作完成时效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项目支出预算控制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项目支出预算控制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≤15万元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出具结题审计抽查工作报告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出具结题审计抽查工作报告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1份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经责审计单位满意度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经责审计单位满意度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4" w:name="_Toc157674453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28"/>
        </w:rPr>
        <w:t>.大型仪器管理服务工作绩效目标表</w:t>
      </w:r>
      <w:bookmarkEnd w:id="4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大型仪器管理服务工作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22.00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22.00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1.2024年度新增大型科研仪器不少于200台套，仪器共享服务总机时不少于30万机时，服务企业不少于5000家次。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共享大型仪器资源增量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共享大型仪器资源增量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≥200台套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仪器共享服务总机时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仪器共享服务总机时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约30万机时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专项工作完成时效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专项工作完成时效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专项工作经费执行情况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专项工作经费执行情况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≤22万元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仪器共享服务企业次数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仪器共享服务企业次数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≥5000家次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企业、仪器共享机构满意度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企业、仪器共享机构满意度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≥95百分比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5" w:name="_Toc157674454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28"/>
        </w:rPr>
        <w:t>.关键核心技术攻关科技项目体系设计与跟踪研判绩效目标表</w:t>
      </w:r>
      <w:bookmarkEnd w:id="5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关键核心技术攻关科技项目体系设计与跟踪研判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55.00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55.00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1.编制我市科技发展趋势研判分析报告</w:t>
            </w:r>
          </w:p>
          <w:p>
            <w:pPr>
              <w:pStyle w:val="19"/>
            </w:pPr>
            <w:r>
              <w:t>2.编制关键核心技术攻关科技项目需求报告</w:t>
            </w:r>
          </w:p>
          <w:p>
            <w:pPr>
              <w:pStyle w:val="19"/>
            </w:pPr>
            <w:r>
              <w:t>3.编制科技攻关项目年度执行报告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编制报告数量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编制我市科技发展趋势研判分析报告、科技攻关项目年度执行报告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重大科技项目凝练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重大科技项目凝练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≥10项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项目完成时限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项目完成时限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项目资金预算控制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项目资金预算控制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≤55万元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落实科技重大项目管理机制覆盖率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落实科技重大项目管理机制覆盖率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会议答辩服务对象满意度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会议答辩服务对象满意度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6" w:name="_Toc157674455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7</w:t>
      </w:r>
      <w:r>
        <w:rPr>
          <w:rFonts w:ascii="方正仿宋_GBK" w:hAnsi="方正仿宋_GBK" w:eastAsia="方正仿宋_GBK" w:cs="方正仿宋_GBK"/>
          <w:sz w:val="28"/>
        </w:rPr>
        <w:t>.杰青评估评价服务绩效目标表</w:t>
      </w:r>
      <w:bookmarkEnd w:id="6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杰青评估评价服务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面向政府管理部门提供工具化、系统化的杰青成果跟踪分析与评估评价服务，支撑持续动态跟踪杰青基金项目的推进与实施情况，科学评估评价杰青成果，为天津市杰青基金项目组织实施提供科学、客观的决策依据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评估评价杰青人才数量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评估评价杰青人才数量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≥150人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杰青人才科研成果数据覆盖率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杰青人才科研成果数据覆盖率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专项工作完成时间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专项工作完成时间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专项工作费用标准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专项工作费用标准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≤20万元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提供跟踪分析与评估评价服务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提供工具化、系统化的杰青成果跟踪分析与评估评价服务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科技管理人员满意度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科技管理人员满意度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≥95百分比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7" w:name="_Toc157674456"/>
      <w:r>
        <w:rPr>
          <w:rFonts w:ascii="方正仿宋_GBK" w:hAnsi="方正仿宋_GBK" w:eastAsia="方正仿宋_GBK" w:cs="方正仿宋_GBK"/>
          <w:sz w:val="28"/>
        </w:rPr>
        <w:t>8.科技创新汇智平台工作绩效目标表</w:t>
      </w:r>
      <w:bookmarkEnd w:id="7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科技创新汇智平台工作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50.00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1.推动指导平台实体运营单位、各领域汇智中心开展科技汇智工作；</w:t>
            </w:r>
          </w:p>
          <w:p>
            <w:pPr>
              <w:pStyle w:val="19"/>
            </w:pPr>
            <w:r>
              <w:t>2.高质量完成科技部、科技委、国防科工局等项目征集、遴选、报送，组织战略咨询委员会会议、推动各领域汇智中心开展科学技术研讨，汇智中心调研等。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挖掘优秀军民融合项目数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挖掘优秀军民融合项目数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≥200项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高质量完成“科技汇智”活动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高质量完成“科技汇智”活动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≥5次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完成时限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完成时限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成本支出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成本支出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≤50万元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为区域民口单位提供精准服务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为区域民口单位提供精准服务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≥200人次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辐射区域单位满意度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辐射区域单位满意度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8" w:name="_Toc157674457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9</w:t>
      </w:r>
      <w:r>
        <w:rPr>
          <w:rFonts w:ascii="方正仿宋_GBK" w:hAnsi="方正仿宋_GBK" w:eastAsia="方正仿宋_GBK" w:cs="方正仿宋_GBK"/>
          <w:sz w:val="28"/>
        </w:rPr>
        <w:t>.科技系统干部教育培训绩效目标表</w:t>
      </w:r>
      <w:bookmarkEnd w:id="8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科技系统干部教育培训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18.00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18.00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1.通过教育培训，实现理论教育更加深入、党性教育更加扎实、能力培训更加精准、知识培训更加有效、培训体系更加优化，广大干部政治素质、党性修养和履职能力不断提升的工作目标。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举办干部大讲堂期数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举办干部大讲堂期数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≥10场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干部参与培训率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干部参与培训率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100百分比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培训开展及时率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培训开展及时率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干部教育培训费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干部教育培训费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≤18万元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培训考核达标率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培训考核达标率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参与培训干部满意度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参与培训干部满意度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≥99百分比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9" w:name="_Toc157674458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10</w:t>
      </w:r>
      <w:r>
        <w:rPr>
          <w:rFonts w:ascii="方正仿宋_GBK" w:hAnsi="方正仿宋_GBK" w:eastAsia="方正仿宋_GBK" w:cs="方正仿宋_GBK"/>
          <w:sz w:val="28"/>
        </w:rPr>
        <w:t>.科技信息资源建设绩效目标表</w:t>
      </w:r>
      <w:bookmarkEnd w:id="9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科技信息资源建设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500.00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1.1.依托天津科技文献共享平台，不断充实丰富科技文献资源，进一步完善优化科技文献信息资源保障体系，推进科技基础平台建设和共享。</w:t>
            </w:r>
          </w:p>
          <w:p>
            <w:pPr>
              <w:pStyle w:val="19"/>
            </w:pPr>
            <w:r>
              <w:t>2.2.面向天津市科技型企业、高新技术企业、科研院所等创新主体提供科技文献资源保障和服务支撑，服务科技创新活动，提升科技文献资源的使用效率，增强全市科技自主创新能力。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采购科技文献资源数量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采购科技文献资源数量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≥30种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国内外基础科技文献资源采购覆盖率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国内外基础科技文献资源采购覆盖率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≥80百分比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完成科技文献资源采购时间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完成科技文献资源采购时间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科技信息资源支出费用标准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科技信息资源支出费用标准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≤500万元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组织开展线上线下服务对接活动数量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组织开展线上线下服务对接活动，提高创新主体使用科技文献资源的能力和水平，为全市科技创新活动提供文献资源保障和服务支撑。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≥10场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平台用户满意度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平台用户满意度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≥99百分比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10" w:name="_Toc157674459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11</w:t>
      </w:r>
      <w:r>
        <w:rPr>
          <w:rFonts w:ascii="方正仿宋_GBK" w:hAnsi="方正仿宋_GBK" w:eastAsia="方正仿宋_GBK" w:cs="方正仿宋_GBK"/>
          <w:sz w:val="28"/>
        </w:rPr>
        <w:t>.科技宣传专项工作绩效目标表</w:t>
      </w:r>
      <w:bookmarkEnd w:id="10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科技宣传专项工作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40.00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落实市委市政府关于加强科技创新工作的重要部署，宣传天津市科技工作的重要举措和显著成就，积极利用天津科技政务网与政务新媒体，巩固拓展主流舆论阵地，展现天津科技成果和科技工作者风采，有利支撑我市科技政务工作，为我市科技创新事业发展营造良好的舆论氛围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在媒体发布科技宣传稿件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在媒体发布科技宣传稿件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≥100篇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“天津科技”政务新媒体发布文章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“天津科技”政务新媒体发布文章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≥500篇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组织媒体开展科技宣传活动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组织媒体开展科技宣传活动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≥10次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采集科技多媒体资源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采集科技多媒体资源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≥500分钟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在央媒发布科技宣传稿件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在央媒发布科技宣传稿件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≥20篇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完成时间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完成时间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支出成本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支出成本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≤40万元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宣传政策知晓率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宣传政策知晓率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宣传服务对象满意度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≥95百分比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11" w:name="_Toc157674460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12</w:t>
      </w:r>
      <w:r>
        <w:rPr>
          <w:rFonts w:ascii="方正仿宋_GBK" w:hAnsi="方正仿宋_GBK" w:eastAsia="方正仿宋_GBK" w:cs="方正仿宋_GBK"/>
          <w:sz w:val="28"/>
        </w:rPr>
        <w:t>.科学技术普及工作经费绩效目标表</w:t>
      </w:r>
      <w:bookmarkEnd w:id="11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科学技术普及工作经费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25.00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组织开展全年科普基地认定、评估与培训工作。对已满三年的科普基地进行评估；协助组织召开市科普联席会议1次，编印天津市科普工作执行报告。基地铜牌制作；“惠玩科普”微网站3期重点科普工作数据汇总，组织日常系统维护；天津市科普基地认定管理系统升级维护，升级优化填报内容。对系统进行定期的安全扫描及备份，发现问题及时处理。保障做好在线客服、远程技术协助等工作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科普基地认定数量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科普基地认定数量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≥30家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科普基地评估数量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科普基地评估数量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39家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按时完成科普基地认定、评估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按时完成科普基地认定、评估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成本支出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成本支出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≤25万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印发年度科普执行报告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印发年度科普执行报告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500册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服务科普基地满意度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服务科普基地满意度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12" w:name="_Toc157674461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13</w:t>
      </w:r>
      <w:r>
        <w:rPr>
          <w:rFonts w:ascii="方正仿宋_GBK" w:hAnsi="方正仿宋_GBK" w:eastAsia="方正仿宋_GBK" w:cs="方正仿宋_GBK"/>
          <w:sz w:val="28"/>
        </w:rPr>
        <w:t>.科研经费评价及政策培训工作绩效目标表</w:t>
      </w:r>
      <w:bookmarkEnd w:id="12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科研经费评价及政策培训工作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编制市级科技计划项目预算编制说明、预算评估规范等配套措施2项；开展根据市级科技计划项目进展节点及项目立项情况，按时完成项目预算审核、经费决算审核等工作；全年面向高校、科研院所、企业等创新主体开展专项培训12场；全年培训财务专家人数不少于450人次；按要求提交分析或者工作报告2项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开展培训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开展培训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12次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培训财务专家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培训财务专家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450人次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按要求提交分析或者工作报告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按要求提交分析或者工作报告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科研经费评价及政策培训工作完成时限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科研经费评价及政策培训工作完成时限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项目资金预算控制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项目资金预算控制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≤30万元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预算审核时限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预算审核时限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≤5天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决算审核对象满意度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决算审核对象满意度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13" w:name="_Toc157674462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14</w:t>
      </w:r>
      <w:r>
        <w:rPr>
          <w:rFonts w:ascii="方正仿宋_GBK" w:hAnsi="方正仿宋_GBK" w:eastAsia="方正仿宋_GBK" w:cs="方正仿宋_GBK"/>
          <w:sz w:val="28"/>
        </w:rPr>
        <w:t>.实验动物管理服务绩效目标表</w:t>
      </w:r>
      <w:bookmarkEnd w:id="13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实验动物管理服务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1.依据实验动物管理相关法律法规，完成实验动物许可证管理和监督检查，受理并组织实验动物许可证核发，组织开展实验动物相关检查抽查、人员培训、交流合作等管理服务，协助推动相关政策研究等工作。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 xml:space="preserve">组织实验动物单位审核检查次数 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 xml:space="preserve">组织实验动物单位审核检查次数 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≥20家次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完成实验动物管理既定工作计划安排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完成实验动物管理既定工作计划安排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100百分比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完成年度计划时间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完成年度计划时间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项目支出预算控制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项目支出预算控制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≤30万元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实验动物管理工作覆盖率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实验动物管理工作覆盖率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实验动物管理服务满意度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实验动物管理服务满意度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ind w:firstLine="560"/>
        <w:outlineLvl w:val="3"/>
        <w:rPr>
          <w:rFonts w:hint="eastAsia" w:ascii="方正仿宋_GBK" w:hAnsi="方正仿宋_GBK" w:eastAsia="方正仿宋_GBK" w:cs="方正仿宋_GBK"/>
          <w:sz w:val="28"/>
          <w:lang w:val="en-US" w:eastAsia="zh-CN"/>
        </w:rPr>
      </w:pPr>
      <w:bookmarkStart w:id="14" w:name="_Toc157674463"/>
    </w:p>
    <w:p>
      <w:pPr>
        <w:ind w:firstLine="560"/>
        <w:outlineLvl w:val="3"/>
      </w:pPr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15</w:t>
      </w:r>
      <w:r>
        <w:rPr>
          <w:rFonts w:ascii="方正仿宋_GBK" w:hAnsi="方正仿宋_GBK" w:eastAsia="方正仿宋_GBK" w:cs="方正仿宋_GBK"/>
          <w:sz w:val="28"/>
        </w:rPr>
        <w:t>.天津市人类遗传资源管理绩效目标表</w:t>
      </w:r>
      <w:bookmarkEnd w:id="14"/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8"/>
            </w:pPr>
            <w:r>
              <w:t>331201天津市科学技术信息研究所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7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天津市人类遗传资源管理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0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25.00</w:t>
            </w:r>
          </w:p>
        </w:tc>
        <w:tc>
          <w:tcPr>
            <w:tcW w:w="1587" w:type="dxa"/>
            <w:vAlign w:val="center"/>
          </w:tcPr>
          <w:p>
            <w:pPr>
              <w:pStyle w:val="20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9"/>
            </w:pPr>
            <w:r>
              <w:t>25.00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用于项目支出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9"/>
            </w:pPr>
            <w:r>
              <w:t>1.开展重点单位的人类遗传资源现场执法检查工作；按照国家人遗办要求，完成在津相关单位的专项检查并监督其完成整改工作；协助开展涉嫌违规单位的约谈整改；面向全市组织开展人遗管理规定现场培训，协助国家有关部门组织线上培训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20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20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20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20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21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开展相关检查、调查、培训工作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开展相关检查、调查、培训工作次数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≥3次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形成人类遗传相关管理报告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形成人类遗传相关管理报告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1份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人类遗传资源管理工作时限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人类遗传资源管理工作时限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2024年12月31日前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项目资金预算控制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项目资金预算控制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≤25万元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我市人类遗传资源管理覆盖率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我市人类遗传资源管理覆盖率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21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9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9"/>
            </w:pPr>
            <w:r>
              <w:t>人类遗传资源管理工作服务对象满意度</w:t>
            </w:r>
          </w:p>
        </w:tc>
        <w:tc>
          <w:tcPr>
            <w:tcW w:w="3430" w:type="dxa"/>
            <w:vAlign w:val="center"/>
          </w:tcPr>
          <w:p>
            <w:pPr>
              <w:pStyle w:val="19"/>
            </w:pPr>
            <w:r>
              <w:t>人类遗传资源管理工作服务对象满意度</w:t>
            </w:r>
          </w:p>
        </w:tc>
        <w:tc>
          <w:tcPr>
            <w:tcW w:w="2551" w:type="dxa"/>
            <w:vAlign w:val="center"/>
          </w:tcPr>
          <w:p>
            <w:pPr>
              <w:pStyle w:val="19"/>
            </w:pPr>
            <w:r>
              <w:t>≥90百分比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both"/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true"/>
  <w:bordersDoNotSurroundFooter w:val="true"/>
  <w:hideSpellingErrors/>
  <w:doNotTrackMoves/>
  <w:documentProtection w:enforcement="0"/>
  <w:defaultTabStop w:val="720"/>
  <w:evenAndOddHeaders w:val="true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2F"/>
    <w:rsid w:val="00075378"/>
    <w:rsid w:val="002726B2"/>
    <w:rsid w:val="002B1F2F"/>
    <w:rsid w:val="004D7A6C"/>
    <w:rsid w:val="00B23122"/>
    <w:rsid w:val="00BF39CA"/>
    <w:rsid w:val="00C608D3"/>
    <w:rsid w:val="7DFF9966"/>
    <w:rsid w:val="A9BEF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8">
    <w:name w:val="toc 4"/>
    <w:basedOn w:val="1"/>
    <w:next w:val="1"/>
    <w:qFormat/>
    <w:uiPriority w:val="39"/>
    <w:pPr>
      <w:ind w:left="720"/>
    </w:pPr>
  </w:style>
  <w:style w:type="paragraph" w:styleId="9">
    <w:name w:val="toc 2"/>
    <w:basedOn w:val="1"/>
    <w:next w:val="1"/>
    <w:qFormat/>
    <w:uiPriority w:val="0"/>
    <w:pPr>
      <w:ind w:left="240"/>
    </w:p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5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6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7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8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9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20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2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22">
    <w:name w:val="标题 3 字符"/>
    <w:basedOn w:val="12"/>
    <w:link w:val="4"/>
    <w:semiHidden/>
    <w:qFormat/>
    <w:uiPriority w:val="9"/>
    <w:rPr>
      <w:rFonts w:eastAsia="Times New Roman"/>
      <w:b/>
      <w:bCs/>
      <w:sz w:val="32"/>
      <w:szCs w:val="32"/>
      <w:lang w:eastAsia="uk-UA"/>
    </w:rPr>
  </w:style>
  <w:style w:type="character" w:customStyle="1" w:styleId="23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:lang w:eastAsia="uk-UA"/>
    </w:rPr>
  </w:style>
  <w:style w:type="character" w:customStyle="1" w:styleId="24">
    <w:name w:val="标题 1 字符"/>
    <w:basedOn w:val="12"/>
    <w:link w:val="2"/>
    <w:qFormat/>
    <w:uiPriority w:val="9"/>
    <w:rPr>
      <w:rFonts w:eastAsia="Times New Roman"/>
      <w:b/>
      <w:bCs/>
      <w:kern w:val="44"/>
      <w:sz w:val="44"/>
      <w:szCs w:val="44"/>
      <w:lang w:eastAsia="uk-UA"/>
    </w:rPr>
  </w:style>
  <w:style w:type="character" w:customStyle="1" w:styleId="25">
    <w:name w:val="页眉 字符"/>
    <w:basedOn w:val="12"/>
    <w:link w:val="6"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26">
    <w:name w:val="页脚 字符"/>
    <w:basedOn w:val="12"/>
    <w:link w:val="5"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120</Pages>
  <Words>9989</Words>
  <Characters>56942</Characters>
  <Lines>474</Lines>
  <Paragraphs>133</Paragraphs>
  <TotalTime>13</TotalTime>
  <ScaleCrop>false</ScaleCrop>
  <LinksUpToDate>false</LinksUpToDate>
  <CharactersWithSpaces>66798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2024-02-01T10:14:00Z</dcterms:created>
  <dc:creator>greatwall</dc:creator>
  <cp:lastModifiedBy>麻淼磊</cp:lastModifiedBy>
  <dcterms:modified xsi:type="dcterms:W3CDTF">2024-02-20T08:51:25Z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